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02" w:rsidRDefault="005C5098" w:rsidP="005C5098">
      <w:pPr>
        <w:jc w:val="center"/>
        <w:rPr>
          <w:b/>
        </w:rPr>
      </w:pPr>
      <w:r w:rsidRPr="005C5098">
        <w:rPr>
          <w:b/>
          <w:lang w:val="vi-VN"/>
        </w:rPr>
        <w:t>NỘI DUNG DỰ THẢO SỬA ĐỔI BỔ SUNG PHẦN 4 CỦA BỘ QCATHK</w:t>
      </w:r>
    </w:p>
    <w:p w:rsidR="006C0264" w:rsidRPr="006C0264" w:rsidRDefault="006C0264" w:rsidP="005C5098">
      <w:pPr>
        <w:jc w:val="center"/>
        <w:rPr>
          <w:b/>
        </w:rPr>
      </w:pPr>
    </w:p>
    <w:p w:rsidR="005C5098" w:rsidRPr="005C5098" w:rsidRDefault="005C5098" w:rsidP="005C5098">
      <w:pPr>
        <w:rPr>
          <w:b/>
          <w:highlight w:val="yellow"/>
          <w:lang w:val="vi-VN"/>
        </w:rPr>
      </w:pPr>
    </w:p>
    <w:tbl>
      <w:tblPr>
        <w:tblStyle w:val="TableGrid"/>
        <w:tblW w:w="14992" w:type="dxa"/>
        <w:tblCellMar>
          <w:left w:w="57" w:type="dxa"/>
          <w:right w:w="57" w:type="dxa"/>
        </w:tblCellMar>
        <w:tblLook w:val="04A0"/>
      </w:tblPr>
      <w:tblGrid>
        <w:gridCol w:w="642"/>
        <w:gridCol w:w="1052"/>
        <w:gridCol w:w="808"/>
        <w:gridCol w:w="5028"/>
        <w:gridCol w:w="4838"/>
        <w:gridCol w:w="2624"/>
      </w:tblGrid>
      <w:tr w:rsidR="003D2C02" w:rsidTr="00C71C5A">
        <w:tc>
          <w:tcPr>
            <w:tcW w:w="643" w:type="dxa"/>
          </w:tcPr>
          <w:p w:rsidR="003D2C02" w:rsidRPr="005C5098" w:rsidRDefault="003D2C02" w:rsidP="00C71C5A">
            <w:pPr>
              <w:jc w:val="center"/>
              <w:rPr>
                <w:b/>
                <w:lang w:val="vi-VN"/>
              </w:rPr>
            </w:pPr>
            <w:r w:rsidRPr="005C5098">
              <w:rPr>
                <w:b/>
                <w:lang w:val="vi-VN"/>
              </w:rPr>
              <w:t>STT</w:t>
            </w:r>
          </w:p>
        </w:tc>
        <w:tc>
          <w:tcPr>
            <w:tcW w:w="1053" w:type="dxa"/>
          </w:tcPr>
          <w:p w:rsidR="003D2C02" w:rsidRPr="005C5098" w:rsidRDefault="003D2C02" w:rsidP="00C71C5A">
            <w:pPr>
              <w:jc w:val="center"/>
              <w:rPr>
                <w:b/>
                <w:lang w:val="vi-VN"/>
              </w:rPr>
            </w:pPr>
            <w:r w:rsidRPr="005C5098">
              <w:rPr>
                <w:b/>
                <w:lang w:val="vi-VN"/>
              </w:rPr>
              <w:t>Điều</w:t>
            </w:r>
          </w:p>
        </w:tc>
        <w:tc>
          <w:tcPr>
            <w:tcW w:w="772" w:type="dxa"/>
          </w:tcPr>
          <w:p w:rsidR="003D2C02" w:rsidRPr="005C5098" w:rsidRDefault="003D2C02" w:rsidP="00C71C5A">
            <w:pPr>
              <w:jc w:val="center"/>
              <w:rPr>
                <w:b/>
                <w:lang w:val="vi-VN"/>
              </w:rPr>
            </w:pPr>
            <w:r w:rsidRPr="005C5098">
              <w:rPr>
                <w:b/>
                <w:lang w:val="vi-VN"/>
              </w:rPr>
              <w:t>Khoản</w:t>
            </w:r>
          </w:p>
        </w:tc>
        <w:tc>
          <w:tcPr>
            <w:tcW w:w="5042" w:type="dxa"/>
          </w:tcPr>
          <w:p w:rsidR="003D2C02" w:rsidRPr="005C5098" w:rsidRDefault="003D2C02" w:rsidP="00C71C5A">
            <w:pPr>
              <w:jc w:val="center"/>
              <w:rPr>
                <w:b/>
                <w:lang w:val="vi-VN"/>
              </w:rPr>
            </w:pPr>
            <w:r w:rsidRPr="005C5098">
              <w:rPr>
                <w:b/>
                <w:lang w:val="vi-VN"/>
              </w:rPr>
              <w:t>Nội dung hiện hành</w:t>
            </w:r>
          </w:p>
        </w:tc>
        <w:tc>
          <w:tcPr>
            <w:tcW w:w="4851" w:type="dxa"/>
          </w:tcPr>
          <w:p w:rsidR="003D2C02" w:rsidRPr="005C5098" w:rsidRDefault="003D2C02" w:rsidP="00C71C5A">
            <w:pPr>
              <w:jc w:val="center"/>
              <w:rPr>
                <w:b/>
                <w:lang w:val="vi-VN"/>
              </w:rPr>
            </w:pPr>
            <w:r w:rsidRPr="005C5098">
              <w:rPr>
                <w:b/>
                <w:lang w:val="vi-VN"/>
              </w:rPr>
              <w:t>Nội dung đề nghị sửa, bổ sung</w:t>
            </w:r>
          </w:p>
        </w:tc>
        <w:tc>
          <w:tcPr>
            <w:tcW w:w="2631" w:type="dxa"/>
          </w:tcPr>
          <w:p w:rsidR="003D2C02" w:rsidRPr="005C5098" w:rsidRDefault="003D2C02" w:rsidP="00C71C5A">
            <w:pPr>
              <w:jc w:val="center"/>
              <w:rPr>
                <w:b/>
                <w:lang w:val="vi-VN"/>
              </w:rPr>
            </w:pPr>
            <w:r w:rsidRPr="005C5098">
              <w:rPr>
                <w:b/>
                <w:lang w:val="vi-VN"/>
              </w:rPr>
              <w:t>Ghi chú</w:t>
            </w:r>
          </w:p>
        </w:tc>
      </w:tr>
      <w:tr w:rsidR="003D2C02" w:rsidRPr="00A6579E" w:rsidTr="00C71C5A">
        <w:tc>
          <w:tcPr>
            <w:tcW w:w="643" w:type="dxa"/>
          </w:tcPr>
          <w:p w:rsidR="003D2C02" w:rsidRPr="0099555D" w:rsidRDefault="003D2C02" w:rsidP="00C71C5A">
            <w:pPr>
              <w:jc w:val="center"/>
              <w:rPr>
                <w:lang w:val="vi-VN"/>
              </w:rPr>
            </w:pPr>
          </w:p>
        </w:tc>
        <w:tc>
          <w:tcPr>
            <w:tcW w:w="1053" w:type="dxa"/>
          </w:tcPr>
          <w:p w:rsidR="003D2C02" w:rsidRPr="0099555D" w:rsidRDefault="003D2C02" w:rsidP="00C71C5A">
            <w:pPr>
              <w:rPr>
                <w:b/>
                <w:bCs/>
              </w:rPr>
            </w:pPr>
            <w:r w:rsidRPr="0099555D">
              <w:rPr>
                <w:b/>
                <w:bCs/>
              </w:rPr>
              <w:t>4.035</w:t>
            </w:r>
          </w:p>
        </w:tc>
        <w:tc>
          <w:tcPr>
            <w:tcW w:w="772" w:type="dxa"/>
          </w:tcPr>
          <w:p w:rsidR="003D2C02" w:rsidRPr="0099555D" w:rsidRDefault="003D2C02" w:rsidP="00C71C5A">
            <w:pPr>
              <w:pStyle w:val="p1"/>
              <w:jc w:val="center"/>
              <w:rPr>
                <w:rFonts w:ascii="Times New Roman" w:hAnsi="Times New Roman"/>
                <w:sz w:val="24"/>
                <w:szCs w:val="24"/>
              </w:rPr>
            </w:pPr>
            <w:r w:rsidRPr="0099555D">
              <w:rPr>
                <w:rFonts w:ascii="Times New Roman" w:hAnsi="Times New Roman"/>
                <w:sz w:val="24"/>
                <w:szCs w:val="24"/>
              </w:rPr>
              <w:t>c</w:t>
            </w:r>
          </w:p>
        </w:tc>
        <w:tc>
          <w:tcPr>
            <w:tcW w:w="5042" w:type="dxa"/>
          </w:tcPr>
          <w:p w:rsidR="003D2C02" w:rsidRPr="0099555D" w:rsidRDefault="003D2C02" w:rsidP="005C5098">
            <w:pPr>
              <w:jc w:val="both"/>
              <w:rPr>
                <w:bCs/>
              </w:rPr>
            </w:pPr>
            <w:r w:rsidRPr="0099555D">
              <w:rPr>
                <w:bCs/>
              </w:rPr>
              <w:t xml:space="preserve">Cục HKVN có thể cấp Giấy chứng nhận đủ điều kiện bay đặc biệt cho tàu bay có khả năng bay an toàn, nhưng không đáp ứng các các yêu cầu đủ điều kiện bay hiện </w:t>
            </w:r>
            <w:bookmarkStart w:id="0" w:name="_GoBack"/>
            <w:bookmarkEnd w:id="0"/>
            <w:r w:rsidRPr="0099555D">
              <w:rPr>
                <w:bCs/>
              </w:rPr>
              <w:t xml:space="preserve">hành, nhằm mục đích: </w:t>
            </w:r>
          </w:p>
          <w:p w:rsidR="003D2C02" w:rsidRPr="0099555D" w:rsidRDefault="003D2C02" w:rsidP="005C5098">
            <w:pPr>
              <w:jc w:val="both"/>
              <w:rPr>
                <w:bCs/>
              </w:rPr>
            </w:pPr>
            <w:r w:rsidRPr="0099555D">
              <w:rPr>
                <w:bCs/>
              </w:rPr>
              <w:t xml:space="preserve">(1)  Bay tới căn cứ có khả năng thực hiện bảo dưỡng, hoặc về nơi bảo quản; </w:t>
            </w:r>
            <w:r w:rsidRPr="0099555D">
              <w:rPr>
                <w:rFonts w:ascii="MS Mincho" w:eastAsia="MS Mincho" w:hAnsi="MS Mincho" w:cs="MS Mincho" w:hint="eastAsia"/>
                <w:bCs/>
              </w:rPr>
              <w:t> </w:t>
            </w:r>
          </w:p>
          <w:p w:rsidR="003D2C02" w:rsidRPr="0099555D" w:rsidRDefault="003D2C02" w:rsidP="005C5098">
            <w:pPr>
              <w:jc w:val="both"/>
              <w:rPr>
                <w:bCs/>
              </w:rPr>
            </w:pPr>
            <w:r w:rsidRPr="0099555D">
              <w:rPr>
                <w:bCs/>
              </w:rPr>
              <w:t xml:space="preserve">(2)  Bay kiểm tra sau bảo dưỡng yêu cầu phải bay kiểm tra; </w:t>
            </w:r>
            <w:r w:rsidRPr="0099555D">
              <w:rPr>
                <w:rFonts w:ascii="MS Mincho" w:eastAsia="MS Mincho" w:hAnsi="MS Mincho" w:cs="MS Mincho" w:hint="eastAsia"/>
                <w:bCs/>
              </w:rPr>
              <w:t> </w:t>
            </w:r>
          </w:p>
        </w:tc>
        <w:tc>
          <w:tcPr>
            <w:tcW w:w="4851" w:type="dxa"/>
          </w:tcPr>
          <w:p w:rsidR="005C5098" w:rsidRPr="0099555D" w:rsidRDefault="005C5098" w:rsidP="005C5098">
            <w:pPr>
              <w:jc w:val="both"/>
              <w:rPr>
                <w:b/>
                <w:bCs/>
                <w:lang w:val="vi-VN"/>
              </w:rPr>
            </w:pPr>
            <w:r w:rsidRPr="0099555D">
              <w:rPr>
                <w:b/>
                <w:bCs/>
                <w:lang w:val="vi-VN"/>
              </w:rPr>
              <w:t>Sửa đổi bổ sung điểm 2 khoản c Điều 4.035 như sau:</w:t>
            </w:r>
          </w:p>
          <w:p w:rsidR="003D2C02" w:rsidRPr="0099555D" w:rsidRDefault="003D2C02" w:rsidP="005C5098">
            <w:pPr>
              <w:jc w:val="both"/>
              <w:rPr>
                <w:bCs/>
              </w:rPr>
            </w:pPr>
            <w:r w:rsidRPr="0099555D">
              <w:rPr>
                <w:bCs/>
              </w:rPr>
              <w:t xml:space="preserve">Cục HKVN có thể cấp Giấy chứng nhận đủ điều kiện bay đặc biệt cho tàu bay có khả năng bay an toàn, nhưng không đáp ứng các các yêu cầu đủ điều kiện bay hiện hành, nhằm mục đích: </w:t>
            </w:r>
          </w:p>
          <w:p w:rsidR="003D2C02" w:rsidRPr="0099555D" w:rsidRDefault="003D2C02" w:rsidP="005C5098">
            <w:pPr>
              <w:jc w:val="both"/>
              <w:rPr>
                <w:bCs/>
              </w:rPr>
            </w:pPr>
            <w:r w:rsidRPr="0099555D">
              <w:rPr>
                <w:bCs/>
              </w:rPr>
              <w:t xml:space="preserve">(1)  Bay tới căn cứ có khả năng thực hiện bảo dưỡng, hoặc về nơi bảo quản; </w:t>
            </w:r>
            <w:r w:rsidRPr="0099555D">
              <w:rPr>
                <w:rFonts w:ascii="MS Mincho" w:eastAsia="MS Mincho" w:hAnsi="MS Mincho" w:cs="MS Mincho" w:hint="eastAsia"/>
                <w:bCs/>
              </w:rPr>
              <w:t> </w:t>
            </w:r>
          </w:p>
          <w:p w:rsidR="003D2C02" w:rsidRPr="0099555D" w:rsidRDefault="003D2C02" w:rsidP="005C5098">
            <w:pPr>
              <w:jc w:val="both"/>
              <w:rPr>
                <w:rFonts w:eastAsia="Times New Roman"/>
              </w:rPr>
            </w:pPr>
            <w:r w:rsidRPr="0099555D">
              <w:rPr>
                <w:bCs/>
              </w:rPr>
              <w:t>(2)  </w:t>
            </w:r>
            <w:r w:rsidRPr="0099555D">
              <w:rPr>
                <w:bCs/>
                <w:highlight w:val="yellow"/>
              </w:rPr>
              <w:t>Bay kiểm tra sau khi thực hiện cải tiến hoặc sửa chữa theo chứng chỉ loại bổ sung;</w:t>
            </w:r>
          </w:p>
        </w:tc>
        <w:tc>
          <w:tcPr>
            <w:tcW w:w="2631" w:type="dxa"/>
          </w:tcPr>
          <w:p w:rsidR="003D2C02" w:rsidRPr="0099555D" w:rsidRDefault="003D2C02" w:rsidP="005C5098">
            <w:pPr>
              <w:jc w:val="both"/>
              <w:rPr>
                <w:lang w:val="vi-VN"/>
              </w:rPr>
            </w:pPr>
            <w:r w:rsidRPr="0099555D">
              <w:rPr>
                <w:lang w:val="vi-VN"/>
              </w:rPr>
              <w:t>Sửa khoản (2) vì tàu bay được bảo dưỡng định kỳ đã phải tuân thủ đúng quy định</w:t>
            </w:r>
            <w:r w:rsidRPr="0099555D">
              <w:t>.</w:t>
            </w:r>
          </w:p>
        </w:tc>
      </w:tr>
      <w:tr w:rsidR="003D2C02" w:rsidRPr="00A6579E" w:rsidTr="00C71C5A">
        <w:tc>
          <w:tcPr>
            <w:tcW w:w="643" w:type="dxa"/>
          </w:tcPr>
          <w:p w:rsidR="003D2C02" w:rsidRPr="0099555D" w:rsidRDefault="003D2C02" w:rsidP="00C71C5A">
            <w:pPr>
              <w:jc w:val="center"/>
              <w:rPr>
                <w:lang w:val="vi-VN"/>
              </w:rPr>
            </w:pPr>
          </w:p>
        </w:tc>
        <w:tc>
          <w:tcPr>
            <w:tcW w:w="1053" w:type="dxa"/>
          </w:tcPr>
          <w:p w:rsidR="003D2C02" w:rsidRPr="0099555D" w:rsidRDefault="003D2C02" w:rsidP="00C71C5A">
            <w:pPr>
              <w:rPr>
                <w:b/>
                <w:bCs/>
              </w:rPr>
            </w:pPr>
            <w:r w:rsidRPr="0099555D">
              <w:rPr>
                <w:b/>
                <w:bCs/>
              </w:rPr>
              <w:t>4.063</w:t>
            </w:r>
          </w:p>
        </w:tc>
        <w:tc>
          <w:tcPr>
            <w:tcW w:w="772" w:type="dxa"/>
          </w:tcPr>
          <w:p w:rsidR="003D2C02" w:rsidRPr="0099555D" w:rsidRDefault="003D2C02" w:rsidP="00C71C5A">
            <w:pPr>
              <w:pStyle w:val="p1"/>
              <w:jc w:val="center"/>
              <w:rPr>
                <w:rFonts w:ascii="Times New Roman" w:hAnsi="Times New Roman"/>
                <w:sz w:val="24"/>
                <w:szCs w:val="24"/>
              </w:rPr>
            </w:pPr>
            <w:r w:rsidRPr="0099555D">
              <w:rPr>
                <w:rFonts w:ascii="Times New Roman" w:hAnsi="Times New Roman"/>
                <w:sz w:val="24"/>
                <w:szCs w:val="24"/>
              </w:rPr>
              <w:t>a</w:t>
            </w:r>
          </w:p>
        </w:tc>
        <w:tc>
          <w:tcPr>
            <w:tcW w:w="5042" w:type="dxa"/>
          </w:tcPr>
          <w:p w:rsidR="003D2C02" w:rsidRPr="0099555D" w:rsidRDefault="003D2C02" w:rsidP="005C5098">
            <w:pPr>
              <w:jc w:val="both"/>
              <w:rPr>
                <w:bCs/>
              </w:rPr>
            </w:pPr>
            <w:r w:rsidRPr="0099555D">
              <w:rPr>
                <w:bCs/>
              </w:rPr>
              <w:t>Ngoại trừ Người khai thác tàu bay khai thác theo AOC, chủ sở hữu và Người khai thác tàu bay lớn, tàu bay trang bị nhiều động cơ tuốc-bin phản lực, tàu bay trang bị nhiều động cơ tuốc-bin cánh quạt và máy bay trực thăng trang bị động cơ tuốc-bin phải chọn, chỉ rõ trong hồ sơ bảo dưỡng tàu bay và sử dụng một trong các Chương trình sau đây để kiểm tra tàu bay:</w:t>
            </w:r>
          </w:p>
        </w:tc>
        <w:tc>
          <w:tcPr>
            <w:tcW w:w="4851" w:type="dxa"/>
          </w:tcPr>
          <w:p w:rsidR="00903582" w:rsidRPr="0099555D" w:rsidRDefault="00903582" w:rsidP="005C5098">
            <w:pPr>
              <w:jc w:val="both"/>
              <w:rPr>
                <w:b/>
                <w:bCs/>
                <w:lang w:val="vi-VN"/>
              </w:rPr>
            </w:pPr>
            <w:r w:rsidRPr="0099555D">
              <w:rPr>
                <w:b/>
                <w:bCs/>
                <w:lang w:val="vi-VN"/>
              </w:rPr>
              <w:t>Sửa đổi bổ sung khoản a Điều 4.063 như sau:</w:t>
            </w:r>
          </w:p>
          <w:p w:rsidR="003D2C02" w:rsidRPr="0099555D" w:rsidRDefault="003D2C02" w:rsidP="005C5098">
            <w:pPr>
              <w:jc w:val="both"/>
              <w:rPr>
                <w:rFonts w:eastAsia="Times New Roman"/>
              </w:rPr>
            </w:pPr>
            <w:r w:rsidRPr="0099555D">
              <w:rPr>
                <w:bCs/>
              </w:rPr>
              <w:t xml:space="preserve">Ngoại trừ Người khai thác tàu bay khai thác theo AOC, chủ sở hữu và Người khai thác tàu bay lớn, tàu bay trang bị nhiều động cơ tuốc-bin phản lực, tàu bay trang bị nhiều </w:t>
            </w:r>
            <w:r w:rsidRPr="0099555D">
              <w:rPr>
                <w:bCs/>
                <w:highlight w:val="yellow"/>
              </w:rPr>
              <w:t>động cơ tuốc-bin cánh quạt và trực thăng</w:t>
            </w:r>
            <w:r w:rsidRPr="0099555D">
              <w:rPr>
                <w:bCs/>
              </w:rPr>
              <w:t xml:space="preserve"> trang bị động cơ tuốc-bin phải chọn, chỉ rõ trong hồ sơ bảo dưỡng tàu bay và sử dụng một trong các Chương trình sau đây để kiểm tra tàu bay:</w:t>
            </w:r>
          </w:p>
        </w:tc>
        <w:tc>
          <w:tcPr>
            <w:tcW w:w="2631" w:type="dxa"/>
          </w:tcPr>
          <w:p w:rsidR="003D2C02" w:rsidRPr="0099555D" w:rsidRDefault="003D2C02" w:rsidP="005C5098">
            <w:pPr>
              <w:jc w:val="both"/>
              <w:rPr>
                <w:lang w:val="vi-VN"/>
              </w:rPr>
            </w:pPr>
            <w:r w:rsidRPr="0099555D">
              <w:rPr>
                <w:lang w:val="vi-VN"/>
              </w:rPr>
              <w:t>Bỏ từ “máy bay”</w:t>
            </w:r>
          </w:p>
        </w:tc>
      </w:tr>
      <w:tr w:rsidR="003D2C02" w:rsidRPr="00A6579E" w:rsidTr="00C71C5A">
        <w:tc>
          <w:tcPr>
            <w:tcW w:w="643" w:type="dxa"/>
          </w:tcPr>
          <w:p w:rsidR="003D2C02" w:rsidRPr="0099555D" w:rsidRDefault="003D2C02" w:rsidP="00C71C5A">
            <w:pPr>
              <w:jc w:val="center"/>
              <w:rPr>
                <w:lang w:val="vi-VN"/>
              </w:rPr>
            </w:pPr>
          </w:p>
        </w:tc>
        <w:tc>
          <w:tcPr>
            <w:tcW w:w="1053" w:type="dxa"/>
          </w:tcPr>
          <w:p w:rsidR="003D2C02" w:rsidRPr="0099555D" w:rsidRDefault="003D2C02" w:rsidP="00C71C5A">
            <w:pPr>
              <w:rPr>
                <w:b/>
                <w:bCs/>
              </w:rPr>
            </w:pPr>
            <w:r w:rsidRPr="0099555D">
              <w:rPr>
                <w:b/>
                <w:bCs/>
              </w:rPr>
              <w:t>4.075</w:t>
            </w:r>
          </w:p>
        </w:tc>
        <w:tc>
          <w:tcPr>
            <w:tcW w:w="772" w:type="dxa"/>
          </w:tcPr>
          <w:p w:rsidR="003D2C02" w:rsidRPr="0099555D" w:rsidRDefault="003D2C02" w:rsidP="00C71C5A">
            <w:pPr>
              <w:pStyle w:val="p1"/>
              <w:jc w:val="center"/>
              <w:rPr>
                <w:rFonts w:ascii="Times New Roman" w:hAnsi="Times New Roman"/>
                <w:sz w:val="24"/>
                <w:szCs w:val="24"/>
              </w:rPr>
            </w:pPr>
          </w:p>
        </w:tc>
        <w:tc>
          <w:tcPr>
            <w:tcW w:w="5042" w:type="dxa"/>
          </w:tcPr>
          <w:p w:rsidR="003D2C02" w:rsidRPr="0099555D" w:rsidRDefault="003D2C02" w:rsidP="00C71C5A">
            <w:pPr>
              <w:rPr>
                <w:b/>
                <w:bCs/>
              </w:rPr>
            </w:pPr>
            <w:r w:rsidRPr="0099555D">
              <w:rPr>
                <w:b/>
                <w:bCs/>
              </w:rPr>
              <w:t>NHÂN VIÊN ĐƯỢC UỶ QUYỀN THỰC HIỆN BẢO DƯỠNG</w:t>
            </w:r>
          </w:p>
        </w:tc>
        <w:tc>
          <w:tcPr>
            <w:tcW w:w="4851" w:type="dxa"/>
          </w:tcPr>
          <w:p w:rsidR="003D2C02" w:rsidRPr="0099555D" w:rsidRDefault="003D2C02" w:rsidP="00C71C5A">
            <w:pPr>
              <w:rPr>
                <w:rFonts w:eastAsia="Times New Roman"/>
              </w:rPr>
            </w:pPr>
          </w:p>
        </w:tc>
        <w:tc>
          <w:tcPr>
            <w:tcW w:w="2631" w:type="dxa"/>
          </w:tcPr>
          <w:p w:rsidR="003D2C02" w:rsidRPr="0099555D" w:rsidRDefault="003D2C02" w:rsidP="00C71C5A">
            <w:pPr>
              <w:rPr>
                <w:lang w:val="vi-VN"/>
              </w:rPr>
            </w:pPr>
          </w:p>
        </w:tc>
      </w:tr>
      <w:tr w:rsidR="003D2C02" w:rsidRPr="00A6579E" w:rsidTr="00C71C5A">
        <w:tc>
          <w:tcPr>
            <w:tcW w:w="643" w:type="dxa"/>
          </w:tcPr>
          <w:p w:rsidR="003D2C02" w:rsidRPr="0099555D" w:rsidRDefault="003D2C02" w:rsidP="00C71C5A">
            <w:pPr>
              <w:jc w:val="center"/>
              <w:rPr>
                <w:lang w:val="vi-VN"/>
              </w:rPr>
            </w:pPr>
          </w:p>
        </w:tc>
        <w:tc>
          <w:tcPr>
            <w:tcW w:w="1053" w:type="dxa"/>
          </w:tcPr>
          <w:p w:rsidR="003D2C02" w:rsidRPr="0099555D" w:rsidRDefault="003D2C02" w:rsidP="00C71C5A">
            <w:pPr>
              <w:rPr>
                <w:b/>
                <w:bCs/>
              </w:rPr>
            </w:pPr>
            <w:r w:rsidRPr="0099555D">
              <w:rPr>
                <w:b/>
                <w:bCs/>
              </w:rPr>
              <w:t>4.075</w:t>
            </w:r>
          </w:p>
        </w:tc>
        <w:tc>
          <w:tcPr>
            <w:tcW w:w="772" w:type="dxa"/>
          </w:tcPr>
          <w:p w:rsidR="003D2C02" w:rsidRPr="0099555D" w:rsidRDefault="003D2C02" w:rsidP="00C71C5A">
            <w:pPr>
              <w:pStyle w:val="p1"/>
              <w:jc w:val="center"/>
              <w:rPr>
                <w:rFonts w:ascii="Times New Roman" w:hAnsi="Times New Roman"/>
                <w:sz w:val="24"/>
                <w:szCs w:val="24"/>
              </w:rPr>
            </w:pPr>
            <w:r w:rsidRPr="0099555D">
              <w:rPr>
                <w:rFonts w:ascii="Times New Roman" w:hAnsi="Times New Roman"/>
                <w:sz w:val="24"/>
                <w:szCs w:val="24"/>
              </w:rPr>
              <w:t>(a)</w:t>
            </w:r>
          </w:p>
        </w:tc>
        <w:tc>
          <w:tcPr>
            <w:tcW w:w="5042" w:type="dxa"/>
          </w:tcPr>
          <w:p w:rsidR="003D2C02" w:rsidRPr="0099555D" w:rsidRDefault="003D2C02" w:rsidP="00C71C5A">
            <w:pPr>
              <w:rPr>
                <w:rFonts w:eastAsia="Times New Roman"/>
              </w:rPr>
            </w:pPr>
            <w:r w:rsidRPr="0099555D">
              <w:rPr>
                <w:rFonts w:eastAsia="Times New Roman"/>
              </w:rPr>
              <w:t xml:space="preserve">Công việc bảo dưỡng tàu bay hoặc thiết bị tàu bay được thực hiện bởi đối tượng sau: </w:t>
            </w:r>
          </w:p>
          <w:p w:rsidR="003D2C02" w:rsidRPr="0099555D" w:rsidRDefault="003D2C02" w:rsidP="00C71C5A">
            <w:pPr>
              <w:rPr>
                <w:rFonts w:eastAsia="Times New Roman"/>
              </w:rPr>
            </w:pPr>
            <w:r w:rsidRPr="0099555D">
              <w:rPr>
                <w:rFonts w:eastAsia="Times New Roman"/>
              </w:rPr>
              <w:t xml:space="preserve">1. Nhân viên kỹ thuật bảo dưỡng tàu bay (AMT), Nhân viên sửa chữa chuyên ngành hàng không (ARS) được uỷ quyền của Tổ chức bảo dưỡng được phê chuẩn trong phạm vi năng định được phê chuẩn của AMO; </w:t>
            </w:r>
          </w:p>
          <w:p w:rsidR="003D2C02" w:rsidRPr="0099555D" w:rsidRDefault="003D2C02" w:rsidP="00C71C5A">
            <w:pPr>
              <w:rPr>
                <w:rFonts w:eastAsia="Times New Roman"/>
              </w:rPr>
            </w:pPr>
            <w:r w:rsidRPr="0099555D">
              <w:rPr>
                <w:rFonts w:eastAsia="Times New Roman"/>
              </w:rPr>
              <w:lastRenderedPageBreak/>
              <w:t>2. Nhân viên kỹ thuật bảo dưỡng tàu bay (AMT), Nhân viên sửa chữa chuyên ngành hàng không (ARS) được uỷ quyền của Người khai thác được cấp AOC có hệ thống bảo dưỡng tàu bay hoặc thiết bị tàu bay được Cục Hàng không Việt Nam xác nhận phù hợp với quy định tại Phần 5 Bộ QCATHK;</w:t>
            </w:r>
          </w:p>
          <w:p w:rsidR="003D2C02" w:rsidRPr="0099555D" w:rsidRDefault="003D2C02" w:rsidP="00C71C5A">
            <w:pPr>
              <w:rPr>
                <w:rFonts w:eastAsia="Times New Roman"/>
              </w:rPr>
            </w:pPr>
          </w:p>
        </w:tc>
        <w:tc>
          <w:tcPr>
            <w:tcW w:w="4851" w:type="dxa"/>
          </w:tcPr>
          <w:p w:rsidR="00903582" w:rsidRPr="0099555D" w:rsidRDefault="00903582" w:rsidP="00C71C5A">
            <w:pPr>
              <w:rPr>
                <w:rFonts w:eastAsia="Times New Roman"/>
                <w:b/>
                <w:lang w:val="vi-VN"/>
              </w:rPr>
            </w:pPr>
            <w:r w:rsidRPr="0099555D">
              <w:rPr>
                <w:rFonts w:eastAsia="Times New Roman"/>
                <w:b/>
                <w:lang w:val="vi-VN"/>
              </w:rPr>
              <w:lastRenderedPageBreak/>
              <w:t>Sửa đổi điểm 3 khoản a Điều 4.075 như sau:</w:t>
            </w:r>
          </w:p>
          <w:p w:rsidR="003D2C02" w:rsidRPr="0099555D" w:rsidRDefault="003D2C02" w:rsidP="00C71C5A">
            <w:pPr>
              <w:rPr>
                <w:rFonts w:eastAsia="Times New Roman"/>
              </w:rPr>
            </w:pPr>
            <w:r w:rsidRPr="0099555D">
              <w:rPr>
                <w:rFonts w:eastAsia="Times New Roman"/>
              </w:rPr>
              <w:t xml:space="preserve">Công việc bảo dưỡng tàu bay hoặc thiết bị tàu bay được thực hiện bởi đối tượng sau: </w:t>
            </w:r>
          </w:p>
          <w:p w:rsidR="003D2C02" w:rsidRPr="0099555D" w:rsidRDefault="003D2C02" w:rsidP="00C71C5A">
            <w:pPr>
              <w:rPr>
                <w:rFonts w:eastAsia="Times New Roman"/>
              </w:rPr>
            </w:pPr>
            <w:r w:rsidRPr="0099555D">
              <w:rPr>
                <w:rFonts w:eastAsia="Times New Roman"/>
              </w:rPr>
              <w:t xml:space="preserve">1. Nhân viên kỹ thuật bảo dưỡng tàu bay (AMT), Nhân viên sửa chữa chuyên ngành hàng không (ARS) được uỷ quyền của Tổ chức bảo dưỡng được phê chuẩn trong phạm vi năng định </w:t>
            </w:r>
            <w:r w:rsidRPr="0099555D">
              <w:rPr>
                <w:rFonts w:eastAsia="Times New Roman"/>
              </w:rPr>
              <w:lastRenderedPageBreak/>
              <w:t xml:space="preserve">được phê chuẩn của AMO; </w:t>
            </w:r>
          </w:p>
          <w:p w:rsidR="003D2C02" w:rsidRPr="0099555D" w:rsidRDefault="003D2C02" w:rsidP="00C71C5A">
            <w:pPr>
              <w:rPr>
                <w:rFonts w:eastAsia="Times New Roman"/>
              </w:rPr>
            </w:pPr>
            <w:r w:rsidRPr="0099555D">
              <w:rPr>
                <w:rFonts w:eastAsia="Times New Roman"/>
              </w:rPr>
              <w:t>2. Nhân viên kỹ thuật bảo dưỡng tàu bay (AMT), Nhân viên sửa chữa chuyên ngành hàng không (ARS) được uỷ quyền của Người khai thác được cấp AOC có hệ thống bảo dưỡng tàu bay hoặc thiết bị tàu bay được Cục Hàng không Việt Nam xác nhận phù hợp với quy định tại Phần 5 Bộ QCATHK;</w:t>
            </w:r>
          </w:p>
          <w:p w:rsidR="003D2C02" w:rsidRPr="0099555D" w:rsidRDefault="003D2C02" w:rsidP="00C71C5A">
            <w:pPr>
              <w:rPr>
                <w:rFonts w:eastAsia="Times New Roman"/>
              </w:rPr>
            </w:pPr>
            <w:r w:rsidRPr="0099555D">
              <w:rPr>
                <w:rFonts w:eastAsia="Times New Roman"/>
                <w:highlight w:val="yellow"/>
              </w:rPr>
              <w:t xml:space="preserve">3. Nhân viên kỹ thuật bảo dưỡng tàu bay (AMT), Người lái có giấy phép do Cục HKVN cấp có thể thực hiện bảo dưỡng/ bảo dưỡng dự phòng tàu bay do người lái sở hữu và khai thác, nếu tàu bay đó không phải là tàu bay được phê chuẩn cho sử dụng bởi người được cấp AOC; </w:t>
            </w:r>
            <w:r w:rsidRPr="0099555D">
              <w:rPr>
                <w:rFonts w:ascii="MS Mincho" w:eastAsia="MS Mincho" w:hAnsi="MS Mincho" w:cs="MS Mincho" w:hint="eastAsia"/>
                <w:highlight w:val="yellow"/>
              </w:rPr>
              <w:t> </w:t>
            </w:r>
          </w:p>
          <w:p w:rsidR="003D2C02" w:rsidRPr="0099555D" w:rsidRDefault="003D2C02" w:rsidP="00C71C5A">
            <w:pPr>
              <w:rPr>
                <w:rFonts w:eastAsia="Times New Roman"/>
              </w:rPr>
            </w:pPr>
          </w:p>
        </w:tc>
        <w:tc>
          <w:tcPr>
            <w:tcW w:w="2631" w:type="dxa"/>
          </w:tcPr>
          <w:p w:rsidR="003D2C02" w:rsidRPr="0099555D" w:rsidRDefault="003D2C02" w:rsidP="0099555D">
            <w:pPr>
              <w:jc w:val="both"/>
              <w:rPr>
                <w:lang w:val="vi-VN"/>
              </w:rPr>
            </w:pPr>
            <w:r w:rsidRPr="0099555D">
              <w:rPr>
                <w:rFonts w:eastAsia="Arial Unicode MS"/>
                <w:color w:val="000000"/>
                <w:u w:color="000000"/>
              </w:rPr>
              <w:lastRenderedPageBreak/>
              <w:t>Bổ sung phạm vi người được thực hiện bảo dưỡng đối với tàu bay tư nhân.</w:t>
            </w:r>
          </w:p>
        </w:tc>
      </w:tr>
      <w:tr w:rsidR="003D2C02" w:rsidRPr="00A6579E" w:rsidTr="00C71C5A">
        <w:tc>
          <w:tcPr>
            <w:tcW w:w="643" w:type="dxa"/>
          </w:tcPr>
          <w:p w:rsidR="003D2C02" w:rsidRPr="0099555D" w:rsidRDefault="003D2C02" w:rsidP="00C71C5A">
            <w:pPr>
              <w:jc w:val="center"/>
              <w:rPr>
                <w:lang w:val="vi-VN"/>
              </w:rPr>
            </w:pPr>
          </w:p>
        </w:tc>
        <w:tc>
          <w:tcPr>
            <w:tcW w:w="1053" w:type="dxa"/>
          </w:tcPr>
          <w:p w:rsidR="003D2C02" w:rsidRPr="0099555D" w:rsidRDefault="003D2C02" w:rsidP="0099555D">
            <w:pPr>
              <w:jc w:val="both"/>
              <w:rPr>
                <w:b/>
                <w:bCs/>
              </w:rPr>
            </w:pPr>
            <w:r w:rsidRPr="0099555D">
              <w:rPr>
                <w:b/>
                <w:bCs/>
              </w:rPr>
              <w:t>4.077</w:t>
            </w:r>
          </w:p>
        </w:tc>
        <w:tc>
          <w:tcPr>
            <w:tcW w:w="772" w:type="dxa"/>
          </w:tcPr>
          <w:p w:rsidR="003D2C02" w:rsidRPr="0099555D" w:rsidRDefault="003D2C02" w:rsidP="0099555D">
            <w:pPr>
              <w:pStyle w:val="p1"/>
              <w:jc w:val="both"/>
              <w:rPr>
                <w:rFonts w:ascii="Times New Roman" w:hAnsi="Times New Roman"/>
                <w:sz w:val="24"/>
                <w:szCs w:val="24"/>
              </w:rPr>
            </w:pPr>
          </w:p>
        </w:tc>
        <w:tc>
          <w:tcPr>
            <w:tcW w:w="5042" w:type="dxa"/>
          </w:tcPr>
          <w:p w:rsidR="003D2C02" w:rsidRPr="0099555D" w:rsidRDefault="003D2C02" w:rsidP="0099555D">
            <w:pPr>
              <w:jc w:val="both"/>
              <w:rPr>
                <w:rFonts w:eastAsia="Times New Roman"/>
              </w:rPr>
            </w:pPr>
            <w:r w:rsidRPr="0099555D">
              <w:rPr>
                <w:rFonts w:eastAsia="Times New Roman"/>
                <w:b/>
                <w:bCs/>
              </w:rPr>
              <w:t xml:space="preserve">ĐỘI NGŨ NHÂN VIÊN ĐƯỢC UỶ QUYỀN XÁC NHẬN BẢO DƯỠNG </w:t>
            </w:r>
          </w:p>
        </w:tc>
        <w:tc>
          <w:tcPr>
            <w:tcW w:w="4851" w:type="dxa"/>
          </w:tcPr>
          <w:p w:rsidR="003D2C02" w:rsidRPr="0099555D" w:rsidRDefault="003D2C02" w:rsidP="0099555D">
            <w:pPr>
              <w:jc w:val="both"/>
              <w:rPr>
                <w:rFonts w:eastAsia="Times New Roman"/>
              </w:rPr>
            </w:pPr>
          </w:p>
        </w:tc>
        <w:tc>
          <w:tcPr>
            <w:tcW w:w="2631" w:type="dxa"/>
          </w:tcPr>
          <w:p w:rsidR="003D2C02" w:rsidRPr="0099555D" w:rsidRDefault="003D2C02" w:rsidP="0099555D">
            <w:pPr>
              <w:jc w:val="both"/>
              <w:rPr>
                <w:lang w:val="vi-VN"/>
              </w:rPr>
            </w:pPr>
          </w:p>
        </w:tc>
      </w:tr>
      <w:tr w:rsidR="003D2C02" w:rsidRPr="00A6579E" w:rsidTr="00C71C5A">
        <w:tc>
          <w:tcPr>
            <w:tcW w:w="643" w:type="dxa"/>
          </w:tcPr>
          <w:p w:rsidR="003D2C02" w:rsidRPr="0099555D" w:rsidRDefault="003D2C02" w:rsidP="00C71C5A">
            <w:pPr>
              <w:jc w:val="center"/>
              <w:rPr>
                <w:lang w:val="vi-VN"/>
              </w:rPr>
            </w:pPr>
          </w:p>
        </w:tc>
        <w:tc>
          <w:tcPr>
            <w:tcW w:w="1053" w:type="dxa"/>
          </w:tcPr>
          <w:p w:rsidR="003D2C02" w:rsidRPr="0099555D" w:rsidRDefault="003D2C02" w:rsidP="0099555D">
            <w:pPr>
              <w:jc w:val="both"/>
              <w:rPr>
                <w:b/>
                <w:bCs/>
              </w:rPr>
            </w:pPr>
            <w:r w:rsidRPr="0099555D">
              <w:rPr>
                <w:b/>
                <w:bCs/>
              </w:rPr>
              <w:t>4.077</w:t>
            </w:r>
          </w:p>
        </w:tc>
        <w:tc>
          <w:tcPr>
            <w:tcW w:w="772" w:type="dxa"/>
          </w:tcPr>
          <w:p w:rsidR="003D2C02" w:rsidRPr="0099555D" w:rsidRDefault="003D2C02" w:rsidP="0099555D">
            <w:pPr>
              <w:pStyle w:val="p1"/>
              <w:jc w:val="both"/>
              <w:rPr>
                <w:rFonts w:ascii="Times New Roman" w:hAnsi="Times New Roman"/>
                <w:sz w:val="24"/>
                <w:szCs w:val="24"/>
              </w:rPr>
            </w:pPr>
            <w:r w:rsidRPr="0099555D">
              <w:rPr>
                <w:rFonts w:ascii="Times New Roman" w:hAnsi="Times New Roman"/>
                <w:sz w:val="24"/>
                <w:szCs w:val="24"/>
              </w:rPr>
              <w:t>(a)</w:t>
            </w:r>
          </w:p>
        </w:tc>
        <w:tc>
          <w:tcPr>
            <w:tcW w:w="5042" w:type="dxa"/>
          </w:tcPr>
          <w:p w:rsidR="003D2C02" w:rsidRPr="0099555D" w:rsidRDefault="003D2C02" w:rsidP="0099555D">
            <w:pPr>
              <w:jc w:val="both"/>
              <w:rPr>
                <w:rFonts w:eastAsia="Times New Roman"/>
                <w:bCs/>
              </w:rPr>
            </w:pPr>
            <w:r w:rsidRPr="0099555D">
              <w:rPr>
                <w:rFonts w:eastAsia="Times New Roman"/>
                <w:bCs/>
              </w:rPr>
              <w:t xml:space="preserve">Việc cấp Giấy chứng nhận phê chuẩn cho phép khai thác, bảo dưỡng dự phòng, tân tạo hoặc cải tiến cho tàu bay, thân cánh, động cơ, cánh quạt, thiết bị được thực hiện bởi các đối tượng sau: </w:t>
            </w:r>
          </w:p>
          <w:p w:rsidR="003D2C02" w:rsidRPr="0099555D" w:rsidRDefault="003D2C02" w:rsidP="0099555D">
            <w:pPr>
              <w:ind w:left="-3"/>
              <w:jc w:val="both"/>
              <w:rPr>
                <w:rFonts w:eastAsia="Times New Roman"/>
                <w:bCs/>
              </w:rPr>
            </w:pPr>
            <w:r w:rsidRPr="0099555D">
              <w:rPr>
                <w:rFonts w:eastAsia="Times New Roman"/>
                <w:bCs/>
              </w:rPr>
              <w:t xml:space="preserve">(1) Nhân viên kỹ thuật bảo dưỡng tàu bay (AMT) và Nhân viên sửa chữa chuyên ngành hàng không (ARS) được uỷ quyền của Tổ chức bảo dưỡng AMO được phê chuẩn trong phạm vi năng định phê chuẩn của AMO13; </w:t>
            </w:r>
          </w:p>
          <w:p w:rsidR="003D2C02" w:rsidRPr="0099555D" w:rsidRDefault="003D2C02" w:rsidP="0099555D">
            <w:pPr>
              <w:ind w:left="-3"/>
              <w:jc w:val="both"/>
              <w:rPr>
                <w:rFonts w:eastAsia="Times New Roman"/>
                <w:bCs/>
              </w:rPr>
            </w:pPr>
            <w:r w:rsidRPr="0099555D">
              <w:rPr>
                <w:rFonts w:eastAsia="Times New Roman"/>
                <w:bCs/>
              </w:rPr>
              <w:t xml:space="preserve">(2)  AMT và ARS được uỷ quyền của Người khai thác tàu bay được cấp AOC có hệ thống bảo dưỡng tương đương mô tả trong Phần 5 Bộ QCATHK được Cục Hàng không Việt Nam phê chuẩn trong phạm vi được phê chuẩn14; </w:t>
            </w:r>
            <w:r w:rsidRPr="0099555D">
              <w:rPr>
                <w:rFonts w:ascii="MS Mincho" w:eastAsia="MS Mincho" w:hAnsi="MS Mincho" w:cs="MS Mincho" w:hint="eastAsia"/>
                <w:bCs/>
              </w:rPr>
              <w:t> </w:t>
            </w:r>
          </w:p>
          <w:p w:rsidR="003D2C02" w:rsidRPr="0099555D" w:rsidRDefault="003D2C02" w:rsidP="0099555D">
            <w:pPr>
              <w:ind w:left="-3"/>
              <w:jc w:val="both"/>
              <w:rPr>
                <w:rFonts w:eastAsia="Times New Roman"/>
                <w:bCs/>
              </w:rPr>
            </w:pPr>
            <w:r w:rsidRPr="0099555D">
              <w:rPr>
                <w:rFonts w:eastAsia="Times New Roman"/>
                <w:bCs/>
              </w:rPr>
              <w:t xml:space="preserve">(3)  AMO có thể cấp Giấy chứng nhận cho phép </w:t>
            </w:r>
            <w:r w:rsidRPr="0099555D">
              <w:rPr>
                <w:rFonts w:eastAsia="Times New Roman"/>
                <w:bCs/>
              </w:rPr>
              <w:lastRenderedPageBreak/>
              <w:t xml:space="preserve">khai thác cho tàu bay hoặc thiết bị tàu bay trong phạm vi được phê chuẩn; </w:t>
            </w:r>
            <w:r w:rsidRPr="0099555D">
              <w:rPr>
                <w:rFonts w:ascii="MS Mincho" w:eastAsia="MS Mincho" w:hAnsi="MS Mincho" w:cs="MS Mincho" w:hint="eastAsia"/>
                <w:bCs/>
              </w:rPr>
              <w:t> </w:t>
            </w:r>
          </w:p>
          <w:p w:rsidR="003D2C02" w:rsidRPr="0099555D" w:rsidRDefault="003D2C02" w:rsidP="0099555D">
            <w:pPr>
              <w:ind w:left="-3"/>
              <w:jc w:val="both"/>
              <w:rPr>
                <w:rFonts w:eastAsia="Times New Roman"/>
                <w:bCs/>
              </w:rPr>
            </w:pPr>
            <w:r w:rsidRPr="0099555D">
              <w:rPr>
                <w:rFonts w:eastAsia="Times New Roman"/>
                <w:bCs/>
              </w:rPr>
              <w:t xml:space="preserve">(4)  Người khai thác tàu bay có AOC có thể cấp Giấy chứng nhận cho phép khai thác cho tàu bay hoặc thiết bị tàu bay trong phạm vi được phê chuẩn. </w:t>
            </w:r>
            <w:r w:rsidRPr="0099555D">
              <w:rPr>
                <w:rFonts w:ascii="MS Mincho" w:eastAsia="MS Mincho" w:hAnsi="MS Mincho" w:cs="MS Mincho" w:hint="eastAsia"/>
                <w:bCs/>
              </w:rPr>
              <w:t> </w:t>
            </w:r>
          </w:p>
          <w:p w:rsidR="003D2C02" w:rsidRPr="0099555D" w:rsidRDefault="003D2C02" w:rsidP="0099555D">
            <w:pPr>
              <w:jc w:val="both"/>
              <w:rPr>
                <w:rFonts w:eastAsia="Times New Roman"/>
                <w:bCs/>
              </w:rPr>
            </w:pPr>
          </w:p>
          <w:p w:rsidR="003D2C02" w:rsidRPr="0099555D" w:rsidRDefault="003D2C02" w:rsidP="0099555D">
            <w:pPr>
              <w:jc w:val="both"/>
              <w:rPr>
                <w:rFonts w:eastAsia="Times New Roman"/>
                <w:bCs/>
              </w:rPr>
            </w:pPr>
          </w:p>
        </w:tc>
        <w:tc>
          <w:tcPr>
            <w:tcW w:w="4851" w:type="dxa"/>
          </w:tcPr>
          <w:p w:rsidR="0099555D" w:rsidRPr="0099555D" w:rsidRDefault="0099555D" w:rsidP="0099555D">
            <w:pPr>
              <w:jc w:val="both"/>
              <w:rPr>
                <w:b/>
                <w:bCs/>
                <w:lang w:val="vi-VN"/>
              </w:rPr>
            </w:pPr>
            <w:r w:rsidRPr="0099555D">
              <w:rPr>
                <w:b/>
                <w:bCs/>
                <w:lang w:val="vi-VN"/>
              </w:rPr>
              <w:lastRenderedPageBreak/>
              <w:t>Sửa đổi bổ sung điểm 3 khoản c Điều 4.077 như sau:</w:t>
            </w:r>
          </w:p>
          <w:p w:rsidR="003D2C02" w:rsidRPr="0099555D" w:rsidRDefault="003D2C02" w:rsidP="0099555D">
            <w:pPr>
              <w:jc w:val="both"/>
              <w:rPr>
                <w:rFonts w:eastAsia="Times New Roman"/>
                <w:bCs/>
              </w:rPr>
            </w:pPr>
            <w:r w:rsidRPr="0099555D">
              <w:rPr>
                <w:rFonts w:eastAsia="Times New Roman"/>
                <w:bCs/>
              </w:rPr>
              <w:t xml:space="preserve">Việc cấp Giấy chứng nhận phê chuẩn cho phép khai thác, bảo dưỡng dự phòng, tân tạo hoặc cải tiến cho tàu bay, thân cánh, động cơ, cánh quạt, thiết bị được thực hiện bởi các đối tượng sau: </w:t>
            </w:r>
          </w:p>
          <w:p w:rsidR="003D2C02" w:rsidRPr="0099555D" w:rsidRDefault="003D2C02" w:rsidP="0099555D">
            <w:pPr>
              <w:ind w:left="-3"/>
              <w:jc w:val="both"/>
              <w:rPr>
                <w:rFonts w:eastAsia="Times New Roman"/>
                <w:bCs/>
              </w:rPr>
            </w:pPr>
            <w:r w:rsidRPr="0099555D">
              <w:rPr>
                <w:rFonts w:eastAsia="Times New Roman"/>
                <w:bCs/>
              </w:rPr>
              <w:t xml:space="preserve">(1) Nhân viên kỹ thuật bảo dưỡng tàu bay (AMT) và Nhân viên sửa chữa chuyên ngành hàng không (ARS) được uỷ quyền của Tổ chức bảo dưỡng AMO được phê chuẩn trong phạm vi năng định phê chuẩn của AMO13; </w:t>
            </w:r>
          </w:p>
          <w:p w:rsidR="003D2C02" w:rsidRPr="0099555D" w:rsidRDefault="003D2C02" w:rsidP="0099555D">
            <w:pPr>
              <w:ind w:left="-3"/>
              <w:jc w:val="both"/>
              <w:rPr>
                <w:rFonts w:eastAsia="Times New Roman"/>
                <w:bCs/>
              </w:rPr>
            </w:pPr>
            <w:r w:rsidRPr="0099555D">
              <w:rPr>
                <w:rFonts w:eastAsia="Times New Roman"/>
                <w:bCs/>
              </w:rPr>
              <w:t xml:space="preserve">(2)  AMT và ARS được uỷ quyền của Người khai thác tàu bay được cấp AOC có hệ thống bảo dưỡng tương đương mô tả trong Phần 5 Bộ QCATHK được Cục Hàng không Việt Nam phê </w:t>
            </w:r>
            <w:r w:rsidRPr="0099555D">
              <w:rPr>
                <w:rFonts w:eastAsia="Times New Roman"/>
                <w:bCs/>
              </w:rPr>
              <w:lastRenderedPageBreak/>
              <w:t xml:space="preserve">chuẩn trong phạm vi được phê chuẩn14; </w:t>
            </w:r>
          </w:p>
          <w:p w:rsidR="003D2C02" w:rsidRPr="0099555D" w:rsidRDefault="003D2C02" w:rsidP="0099555D">
            <w:pPr>
              <w:ind w:left="-3"/>
              <w:jc w:val="both"/>
              <w:rPr>
                <w:rFonts w:eastAsia="Times New Roman"/>
                <w:bCs/>
              </w:rPr>
            </w:pPr>
            <w:r w:rsidRPr="0099555D">
              <w:rPr>
                <w:rFonts w:eastAsia="Times New Roman"/>
                <w:bCs/>
                <w:highlight w:val="yellow"/>
              </w:rPr>
              <w:t>(3)</w:t>
            </w:r>
            <w:r w:rsidRPr="0099555D">
              <w:rPr>
                <w:rFonts w:ascii="MS Mincho" w:eastAsia="MS Mincho" w:hAnsi="MS Mincho" w:cs="MS Mincho" w:hint="eastAsia"/>
                <w:bCs/>
                <w:highlight w:val="yellow"/>
              </w:rPr>
              <w:t> </w:t>
            </w:r>
            <w:r w:rsidRPr="0099555D">
              <w:rPr>
                <w:rFonts w:eastAsia="Times New Roman"/>
                <w:highlight w:val="yellow"/>
              </w:rPr>
              <w:t xml:space="preserve"> Nhân viên kỹ thuật bảo dưỡng tàu bay (AMT), Người lái có giấy phép do Cục HKVN cấp </w:t>
            </w:r>
            <w:r w:rsidRPr="0099555D">
              <w:rPr>
                <w:rFonts w:eastAsia="Times New Roman"/>
                <w:bCs/>
                <w:highlight w:val="yellow"/>
              </w:rPr>
              <w:t>có thể cấp Giấy chứng nhận cho phép khai thác cho tàu bay hoặc thiết bị tàu bay</w:t>
            </w:r>
            <w:r w:rsidRPr="0099555D">
              <w:rPr>
                <w:rFonts w:eastAsia="Times New Roman"/>
                <w:highlight w:val="yellow"/>
              </w:rPr>
              <w:t xml:space="preserve"> do người lái sở hữu và khai thác, nếu tàu bay đó không phải là tàu bay được phê chuẩn cho sử dụng bởi người được cấp AOC;</w:t>
            </w:r>
          </w:p>
          <w:p w:rsidR="003D2C02" w:rsidRPr="0099555D" w:rsidRDefault="003D2C02" w:rsidP="0099555D">
            <w:pPr>
              <w:ind w:left="-3"/>
              <w:jc w:val="both"/>
              <w:rPr>
                <w:rFonts w:eastAsia="Times New Roman"/>
                <w:bCs/>
              </w:rPr>
            </w:pPr>
            <w:r w:rsidRPr="0099555D">
              <w:rPr>
                <w:rFonts w:eastAsia="Times New Roman"/>
                <w:bCs/>
              </w:rPr>
              <w:t xml:space="preserve">(4)  AMO có thể cấp Giấy chứng nhận cho phép khai thác cho tàu bay hoặc thiết bị tàu bay trong phạm vi được phê chuẩn; </w:t>
            </w:r>
            <w:r w:rsidRPr="0099555D">
              <w:rPr>
                <w:rFonts w:ascii="MS Mincho" w:eastAsia="MS Mincho" w:hAnsi="MS Mincho" w:cs="MS Mincho" w:hint="eastAsia"/>
                <w:bCs/>
              </w:rPr>
              <w:t> </w:t>
            </w:r>
          </w:p>
          <w:p w:rsidR="003D2C02" w:rsidRPr="0099555D" w:rsidRDefault="003D2C02" w:rsidP="0099555D">
            <w:pPr>
              <w:jc w:val="both"/>
              <w:rPr>
                <w:rFonts w:eastAsia="Times New Roman"/>
              </w:rPr>
            </w:pPr>
            <w:r w:rsidRPr="0099555D">
              <w:rPr>
                <w:rFonts w:eastAsia="Times New Roman"/>
                <w:bCs/>
              </w:rPr>
              <w:t>(5)  Người khai thác tàu bay có AOC có thể cấp Giấy chứng nhận cho phép khai thác cho tàu bay hoặc thiết bị tàu bay trong phạm vi được phê chuẩn.</w:t>
            </w:r>
          </w:p>
        </w:tc>
        <w:tc>
          <w:tcPr>
            <w:tcW w:w="2631" w:type="dxa"/>
          </w:tcPr>
          <w:p w:rsidR="003D2C02" w:rsidRPr="0099555D" w:rsidRDefault="003D2C02" w:rsidP="0099555D">
            <w:pPr>
              <w:jc w:val="both"/>
              <w:rPr>
                <w:rFonts w:eastAsia="Arial Unicode MS"/>
                <w:color w:val="000000"/>
                <w:u w:color="000000"/>
              </w:rPr>
            </w:pPr>
            <w:r w:rsidRPr="0099555D">
              <w:rPr>
                <w:rFonts w:eastAsia="Arial Unicode MS"/>
                <w:color w:val="000000"/>
                <w:u w:color="000000"/>
              </w:rPr>
              <w:lastRenderedPageBreak/>
              <w:t>Bổ sung phạm vi người được ký hoàn thành bảo dưỡng đối với tàu bay tư nhân.</w:t>
            </w:r>
          </w:p>
        </w:tc>
      </w:tr>
      <w:tr w:rsidR="003D2C02" w:rsidRPr="00A6579E" w:rsidTr="00C71C5A">
        <w:tc>
          <w:tcPr>
            <w:tcW w:w="643" w:type="dxa"/>
          </w:tcPr>
          <w:p w:rsidR="003D2C02" w:rsidRPr="0099555D" w:rsidRDefault="003D2C02" w:rsidP="00C71C5A">
            <w:pPr>
              <w:jc w:val="center"/>
              <w:rPr>
                <w:lang w:val="vi-VN"/>
              </w:rPr>
            </w:pPr>
          </w:p>
        </w:tc>
        <w:tc>
          <w:tcPr>
            <w:tcW w:w="1053" w:type="dxa"/>
          </w:tcPr>
          <w:p w:rsidR="003D2C02" w:rsidRPr="0099555D" w:rsidRDefault="003D2C02" w:rsidP="00C71C5A">
            <w:pPr>
              <w:rPr>
                <w:b/>
                <w:bCs/>
              </w:rPr>
            </w:pPr>
            <w:r w:rsidRPr="0099555D">
              <w:rPr>
                <w:b/>
                <w:bCs/>
              </w:rPr>
              <w:t>4.107</w:t>
            </w:r>
          </w:p>
        </w:tc>
        <w:tc>
          <w:tcPr>
            <w:tcW w:w="772" w:type="dxa"/>
          </w:tcPr>
          <w:p w:rsidR="003D2C02" w:rsidRPr="0099555D" w:rsidRDefault="003D2C02" w:rsidP="00C71C5A">
            <w:pPr>
              <w:pStyle w:val="p1"/>
              <w:jc w:val="center"/>
              <w:rPr>
                <w:rFonts w:ascii="Times New Roman" w:hAnsi="Times New Roman"/>
                <w:sz w:val="24"/>
                <w:szCs w:val="24"/>
              </w:rPr>
            </w:pPr>
            <w:r w:rsidRPr="0099555D">
              <w:rPr>
                <w:rFonts w:ascii="Times New Roman" w:hAnsi="Times New Roman"/>
                <w:sz w:val="24"/>
                <w:szCs w:val="24"/>
              </w:rPr>
              <w:t>(b)</w:t>
            </w:r>
          </w:p>
        </w:tc>
        <w:tc>
          <w:tcPr>
            <w:tcW w:w="5042" w:type="dxa"/>
          </w:tcPr>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Nội dung tối thiểu của mục xác nhận hoàn thành bảo dưỡng phải bao gồm: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1. Chi tiết hoặc tham chiếu tới dữ liệu được Cục Hàng không Việt Nam chấp thuận của công việc bảo dưỡng đã thực hiện;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2. Ngày thực hiện công việc bảo dưỡng;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3. Khi cần thiết, danh tính, thông tin xác nhận của tổ chức bảo dưỡng;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4. Danh tính, thông tin xác nhận của người có thẩm quyền hoặc người ký xác nhận hoàn thành bảo dưỡng (tên, chữ ký, số chứng chỉ và loại chứng chỉ);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5. Người xác nhận hoàn thành bảo dưỡng chỉ sử dụng một mẫu chữ ký duy nhất cho công việc đã thực hiện. </w:t>
            </w:r>
          </w:p>
          <w:p w:rsidR="003D2C02" w:rsidRPr="0099555D" w:rsidRDefault="003D2C02" w:rsidP="00C71C5A">
            <w:pPr>
              <w:rPr>
                <w:rFonts w:eastAsia="Times New Roman"/>
              </w:rPr>
            </w:pPr>
          </w:p>
        </w:tc>
        <w:tc>
          <w:tcPr>
            <w:tcW w:w="4851" w:type="dxa"/>
          </w:tcPr>
          <w:p w:rsidR="0099555D" w:rsidRPr="0099555D" w:rsidRDefault="0099555D" w:rsidP="0099555D">
            <w:pPr>
              <w:jc w:val="both"/>
              <w:rPr>
                <w:b/>
                <w:bCs/>
                <w:lang w:val="vi-VN"/>
              </w:rPr>
            </w:pPr>
            <w:r w:rsidRPr="0099555D">
              <w:rPr>
                <w:b/>
                <w:bCs/>
                <w:lang w:val="vi-VN"/>
              </w:rPr>
              <w:t>Sửa đổi bổ sung điểm 3 khoản b Điều 4.107 như sau:</w:t>
            </w:r>
          </w:p>
          <w:p w:rsidR="0099555D" w:rsidRPr="0099555D" w:rsidRDefault="0099555D" w:rsidP="00C71C5A">
            <w:pPr>
              <w:widowControl w:val="0"/>
              <w:autoSpaceDE w:val="0"/>
              <w:autoSpaceDN w:val="0"/>
              <w:adjustRightInd w:val="0"/>
              <w:rPr>
                <w:rFonts w:eastAsia="Times New Roman"/>
              </w:rPr>
            </w:pP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Nội dung tối thiểu của mục xác nhận hoàn thành bảo dưỡng phải bao gồm: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1. Chi tiết hoặc tham chiếu tới dữ liệu được Cục Hàng không Việt Nam chấp thuận của công việc bảo dưỡng đã thực hiện;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2. Ngày thực hiện công việc bảo dưỡng;</w:t>
            </w:r>
          </w:p>
          <w:p w:rsidR="003D2C02" w:rsidRPr="0099555D" w:rsidRDefault="003D2C02" w:rsidP="00C71C5A">
            <w:pPr>
              <w:widowControl w:val="0"/>
              <w:autoSpaceDE w:val="0"/>
              <w:autoSpaceDN w:val="0"/>
              <w:adjustRightInd w:val="0"/>
              <w:rPr>
                <w:rFonts w:eastAsia="Times New Roman"/>
              </w:rPr>
            </w:pPr>
            <w:r w:rsidRPr="0099555D">
              <w:rPr>
                <w:rFonts w:eastAsia="Times New Roman"/>
                <w:highlight w:val="yellow"/>
              </w:rPr>
              <w:t>3. Các công việc bảo dưỡng chưa hoàn thành;</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4. Khi cần thiết, danh tính, thông tin xác nhận của tổ chức bảo dưỡng;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5. Danh tính, thông tin xác nhận của người có thẩm quyền hoặc người ký xác nhận hoàn thành bảo dưỡng (tên, chữ ký, số chứng chỉ và loại chứng chỉ); </w:t>
            </w:r>
          </w:p>
          <w:p w:rsidR="003D2C02" w:rsidRPr="0099555D" w:rsidRDefault="003D2C02" w:rsidP="00C71C5A">
            <w:pPr>
              <w:widowControl w:val="0"/>
              <w:autoSpaceDE w:val="0"/>
              <w:autoSpaceDN w:val="0"/>
              <w:adjustRightInd w:val="0"/>
              <w:rPr>
                <w:rFonts w:eastAsia="Times New Roman"/>
              </w:rPr>
            </w:pPr>
            <w:r w:rsidRPr="0099555D">
              <w:rPr>
                <w:rFonts w:eastAsia="Times New Roman"/>
              </w:rPr>
              <w:t xml:space="preserve">6. Người xác nhận hoàn thành bảo dưỡng chỉ sử </w:t>
            </w:r>
            <w:r w:rsidRPr="0099555D">
              <w:rPr>
                <w:rFonts w:eastAsia="Times New Roman"/>
              </w:rPr>
              <w:lastRenderedPageBreak/>
              <w:t xml:space="preserve">dụng một mẫu chữ ký duy nhất cho công việc đã thực hiện. </w:t>
            </w:r>
          </w:p>
          <w:p w:rsidR="003D2C02" w:rsidRPr="0099555D" w:rsidRDefault="003D2C02" w:rsidP="00C71C5A">
            <w:pPr>
              <w:rPr>
                <w:rFonts w:eastAsia="Times New Roman"/>
              </w:rPr>
            </w:pPr>
          </w:p>
        </w:tc>
        <w:tc>
          <w:tcPr>
            <w:tcW w:w="2631" w:type="dxa"/>
          </w:tcPr>
          <w:p w:rsidR="003D2C02" w:rsidRPr="0099555D" w:rsidRDefault="003D2C02" w:rsidP="00C71C5A">
            <w:pPr>
              <w:rPr>
                <w:lang w:val="vi-VN"/>
              </w:rPr>
            </w:pPr>
            <w:r w:rsidRPr="0099555D">
              <w:rPr>
                <w:rFonts w:eastAsia="Arial Unicode MS"/>
                <w:color w:val="000000"/>
                <w:u w:color="000000"/>
              </w:rPr>
              <w:lastRenderedPageBreak/>
              <w:t>Bổ sung danh mục các công việc bảo dưỡng chưa hoàn thành.</w:t>
            </w:r>
          </w:p>
        </w:tc>
      </w:tr>
    </w:tbl>
    <w:p w:rsidR="00745A49" w:rsidRDefault="006C0264"/>
    <w:sectPr w:rsidR="00745A49" w:rsidSect="003D2C02">
      <w:pgSz w:w="16840" w:h="1190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176A5"/>
    <w:multiLevelType w:val="hybridMultilevel"/>
    <w:tmpl w:val="30E64838"/>
    <w:lvl w:ilvl="0" w:tplc="476EC30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3D2C02"/>
    <w:rsid w:val="003D2C02"/>
    <w:rsid w:val="005C5098"/>
    <w:rsid w:val="006514CA"/>
    <w:rsid w:val="006C0264"/>
    <w:rsid w:val="00903582"/>
    <w:rsid w:val="0099555D"/>
    <w:rsid w:val="009A7CD2"/>
    <w:rsid w:val="00E94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02"/>
    <w:pPr>
      <w:spacing w:after="120"/>
      <w:ind w:left="720"/>
    </w:pPr>
  </w:style>
  <w:style w:type="table" w:styleId="TableGrid">
    <w:name w:val="Table Grid"/>
    <w:basedOn w:val="TableNormal"/>
    <w:uiPriority w:val="39"/>
    <w:rsid w:val="003D2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D2C02"/>
    <w:rPr>
      <w:rFonts w:ascii="Helvetica" w:hAnsi="Helvetica"/>
      <w:sz w:val="15"/>
      <w:szCs w:val="15"/>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HoloPopeye@outlook.com</cp:lastModifiedBy>
  <cp:revision>6</cp:revision>
  <dcterms:created xsi:type="dcterms:W3CDTF">2020-06-30T14:57:00Z</dcterms:created>
  <dcterms:modified xsi:type="dcterms:W3CDTF">2020-07-04T02:23:00Z</dcterms:modified>
</cp:coreProperties>
</file>